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FAgrPrV — Zulassungsvoraussetzungen</w:t>
      </w:r>
    </w:p>
    <w:p>
      <w:r>
        <w:rPr>
          <w:color w:val="555555"/>
          <w:sz w:val="18"/>
        </w:rPr>
        <w:t xml:space="preserve">Verordnung über die Prüfung zum anerkannten Abschluß Geprüfter Fachagrarwirt/Geprüfte Fachagrarwirtin - Baumpflege und Baumsanierung</w:t>
      </w:r>
    </w:p>
    <w:p>
      <w:r>
        <w:rPr>
          <w:color w:val="555555"/>
          <w:sz w:val="18"/>
        </w:rPr>
        <w:t xml:space="preserve">Historische Fassung: Stand 10.06.2019 bis 01.01.2021. Dies ist nicht die aktuelle Fassung.</w:t>
      </w:r>
    </w:p>
    <w:p>
      <w:r>
        <w:t xml:space="preserve">(1) Zur Prüfung ist zuzulassen, wer</w:t>
      </w:r>
    </w:p>
    <w:p>
      <w:pPr>
        <w:ind w:left="420"/>
      </w:pPr>
      <w:r>
        <w:t xml:space="preserve">1. eine mit Erfolg abgelegte Abschlußprüfung in den anerkannten Ausbildungsberufen Gärtner/Gärtnerin, Forstwirt/Forstwirtin, Winzer/Winzerin oder Landwirt/Landwirtin und danach eine mindestens dreijährige Berufspraxis in Baumschulen, in Betrieben des Garten- und Landschaftsbaus, des Obstbaus, der Forstwirtschaft oder der Landwirtschaft mit wesentlichem Waldbauanteil oder</w:t>
      </w:r>
    </w:p>
    <w:p>
      <w:pPr>
        <w:ind w:left="420"/>
      </w:pPr>
      <w:r>
        <w:t xml:space="preserve">2. eine mindestens fünfjährige Tätigkeit in Betrieben des Gartenbaus, der Forstwirtschaft, des Weinbaus oder der Landwirtschaft und eine mindestens dreijährige Berufspraxis in Baumschulen, in Betrieben des Garten- und Landschaftsbaus, des Obstbaus, der Forstwirtschaft oder der Landwirtschaft mit wesentlichem Waldbauanteil nachweist.</w:t>
      </w:r>
    </w:p>
    <w:p>
      <w:r>
        <w:t xml:space="preserve">(2) Abweichend von Absatz 1 kann zur 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FAgrPrV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https://recht.nulegal.eu/gesetze/FAgrPrV/2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