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FAVO</w:t>
      </w:r>
    </w:p>
    <w:p>
      <w:r>
        <w:rPr>
          <w:color w:val="555555"/>
          <w:sz w:val="18"/>
        </w:rPr>
        <w:t xml:space="preserve">Festbetrags-Anpassungsverordnung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1 angepassten Festbeträge in Deutscher Mark sind an den nächsten, sich aus den §§ 2 und 3 der Arzneimittelpreisverordnung vom 14. November 1980 (BGBl. I S. 2147) in der durch Artikel 2 § 12 des Gesetzes zur Neuordnung seuchenrechtlicher Vorschriften vom 20. Juli 2000 geänderten Fassung (BGBl. I S. 1045) ergebenden Apothekenabgabepreis einschließlich Umsatzsteuer anzugleichen. Bei gleicher Differenz zu zwei Apothekenabgabepreisen gilt der höhere Preis.</w:t>
      </w:r>
    </w:p>
    <w:p>
      <w:r>
        <w:t xml:space="preserve">(2) Die nach § 1 angepassten und nach Absatz 1 angeglichenen Festbeträge werden nach der Euro-Umstellung an den nächsten, sich aus der ab dem 1. Januar 2002 geltenden Fassung der Arzneimittelpreisverordnung ergebenden Apothekenabgabepreis einschließlich Umsatzsteuer angeglichen. Absatz 1 Satz 2 gilt entsprechend.</w:t>
      </w:r>
    </w:p>
    <w:p>
      <w:r>
        <w:rPr>
          <w:color w:val="555555"/>
          <w:sz w:val="17"/>
        </w:rPr>
        <w:t xml:space="preserve">Zitiervorschlag: § 2 FAVO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https://recht.nulegal.eu/gesetze/FAVO/2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