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FATCA-USA-UmsV</w:t>
      </w:r>
    </w:p>
    <w:p>
      <w:r>
        <w:rPr>
          <w:color w:val="555555"/>
          <w:sz w:val="18"/>
        </w:rPr>
        <w:t xml:space="preserve">FATCA-USA-Umsetzungsverordnung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117c Absatz 1 Satz 1 der Abgabenordnung, der durch Artikel 13 des Gesetzes vom 18. Dezember 2013 (BGBl. I S. 4318) eingefügt worden ist, verordnet das Bundesministerium der Finanzen:</w:t>
      </w:r>
    </w:p>
    <w:p>
      <w:r>
        <w:rPr>
          <w:color w:val="555555"/>
          <w:sz w:val="17"/>
        </w:rPr>
        <w:t xml:space="preserve">Zitiervorschlag: Eingangsformel FATCA-USA-UmsV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https://recht.nulegal.eu/gesetze/FATCA-USA-UmsV/eingangsformel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