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 § 4b FANG</w:t>
      </w:r>
    </w:p>
    <w:p>
      <w:r>
        <w:rPr>
          <w:color w:val="555555"/>
          <w:sz w:val="18"/>
        </w:rPr>
        <w:t xml:space="preserve">Fremdrenten- und Auslandsrenten-Neuregelungsgesetz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22b des Fremdrentengesetzes ist nicht für Berechtigte anzuwenden, die vor dem 7. Mai 1996 ihren gewöhnlichen Aufenthalt in der Bundesrepublik Deutschland genommen haben.</w:t>
      </w:r>
    </w:p>
    <w:p>
      <w:r>
        <w:rPr>
          <w:color w:val="555555"/>
          <w:sz w:val="17"/>
        </w:rPr>
        <w:t xml:space="preserve">Zitiervorschlag: Art 6 § 4b FANG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https://recht.nulegal.eu/gesetze/FANG/6-4b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