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 23 FANG</w:t>
      </w:r>
    </w:p>
    <w:p>
      <w:r>
        <w:rPr>
          <w:color w:val="555555"/>
          <w:sz w:val="18"/>
        </w:rPr>
        <w:t xml:space="preserve">Fremdrenten- und Auslandsrenten-Neuregelungsgesetz</w:t>
      </w:r>
    </w:p>
    <w:p>
      <w:r>
        <w:rPr>
          <w:color w:val="555555"/>
          <w:sz w:val="18"/>
        </w:rPr>
        <w:t xml:space="preserve">Stand: 10.06.2019 (konsolidierte Textfassung, kein amtliches Inkrafttretensdatum)</w:t>
      </w:r>
    </w:p>
    <w:p>
      <w:r>
        <w:t xml:space="preserve">(1) Die in § 1 Buchstabe d des Fremdrentengesetzes genannten Personen, die während des Krieges als ausländische Arbeitskräfte im Gebiet des Deutschen Reichs beschäftigt waren, gelten für die Zeiten als nachversichert,</w:t>
      </w:r>
    </w:p>
    <w:p>
      <w:pPr>
        <w:ind w:left="420"/>
      </w:pPr>
      <w:r>
        <w:t xml:space="preserve">a) in denen sie der Versicherungspflicht unterlegen haben, ohne daß für sie Beiträge zu den gesetzlichen Rentenversicherungen entrichtet worden sind oder als entrichtet gelten,</w:t>
      </w:r>
    </w:p>
    <w:p>
      <w:pPr>
        <w:ind w:left="420"/>
      </w:pPr>
      <w:r>
        <w:t xml:space="preserve">b) in denen sie der Versicherungspflicht unterlegen hätten, wenn sie nicht als Ausländer von der Versicherungspflicht ausgenommen gewesen wären.</w:t>
      </w:r>
    </w:p>
    <w:p>
      <w:r>
        <w:t xml:space="preserve">Satz 1 gilt auch für den Fall des Todes, wenn rentenberechtigte Hinterbliebene vorhanden sind.</w:t>
      </w:r>
    </w:p>
    <w:p>
      <w:r>
        <w:t xml:space="preserve">(2) Die Nachversicherung gilt als durchgeführt in den Fällen des Absatzes 1 Buchstabe a in dem Zweig der gesetzlichen Rentenversicherungen, in dem die Versicherungspflicht bestanden hat, in den Fällen des Absatzes 1 Buchstabe b in dem Zweig der gesetzlichen Rentenversicherungen, in dem die Versicherungspflicht bestanden hätte, wenn der Beschäftigte nicht als Ausländer von der Versicherungspflicht ausgenommen gewesen wäre.</w:t>
      </w:r>
    </w:p>
    <w:p>
      <w:r>
        <w:t xml:space="preserve">(3) Soweit eine Nachversicherung als durchgeführt gilt, gelten die daraus erworbenen Anwartschaften sowie Anwartschaften aus Beiträgen, die für Zeiten entrichtet worden sind, die vor den in Absatz 1 genannten Zeiten liegen, als bis zum 31. Dezember 1956 erhalten.</w:t>
      </w:r>
    </w:p>
    <w:p>
      <w:r>
        <w:t xml:space="preserve">(4) Die Weiterversicherung in den gesetzlichen Rentenversicherungen richtet sich nach den allgemeinen Vorschriften; hierbei gelten die Zeiten der Nachversicherung als Zeiten, für die Beiträge für eine rentenversicherungspflichtige Beschäftigung entrichtet sind.</w:t>
      </w:r>
    </w:p>
    <w:p>
      <w:r>
        <w:t xml:space="preserve">(5) Für die Feststellung der Leistungen gelten die Vorschriften über die Feststellung von Leistungen aus den gesetzlichen Rentenversicherungen bei verlorengegangenen, zerstörten, unbrauchbar gewordenen oder nicht erreichbaren Versicherungsunterlagen entsprechend.</w:t>
      </w:r>
    </w:p>
    <w:p>
      <w:r>
        <w:t xml:space="preserve">(6) Ist wegen der in Absatz 1 getroffenen Regelung eine laufende Rente neu festzustellen, so ist die Neufeststellung rückwirkend zum Zeitpunkt des Rentenbeginns, frühestens zum 1. Januar 1959, vorzunehmen; die Unterschiedsbeträge sind nachzuzahlen.</w:t>
      </w:r>
    </w:p>
    <w:p>
      <w:r>
        <w:t xml:space="preserve">(7) Der Bund erstattet den Trägern der gesetzlichen Rentenversicherungen im Versicherungsfall die auf die Zeiten nach Absatz 1 entfallenden Leistungen.</w:t>
      </w:r>
    </w:p>
    <w:p>
      <w:r>
        <w:t xml:space="preserve">(8) Die Absätze 1 bis 7 gelten vom 1. Januar 1992 an nur noch für Personen, die einen Anspruch auf eine nach den Vorschriften des Sechsten Buches Sozialgesetzbuch zu berechnende Rente haben oder aufgrund der Nachversicherung erwerben würden.</w:t>
      </w:r>
    </w:p>
    <w:p>
      <w:r>
        <w:rPr>
          <w:color w:val="555555"/>
          <w:sz w:val="17"/>
        </w:rPr>
        <w:t xml:space="preserve">Zitiervorschlag: Art 6 § 23 FANG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https://recht.nulegal.eu/gesetze/FANG/6-23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