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§ 20 FANG</w:t>
      </w:r>
    </w:p>
    <w:p>
      <w:r>
        <w:rPr>
          <w:color w:val="555555"/>
          <w:sz w:val="18"/>
        </w:rPr>
        <w:t xml:space="preserve">Fremdrenten- und Auslandsrenten-Neuregelungsgesetz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6 § 20 FANG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https://recht.nulegal.eu/gesetze/FANG/6-20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