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FAGDV (Bayern)</w:t>
      </w:r>
    </w:p>
    <w:p>
      <w:r>
        <w:rPr>
          <w:color w:val="555555"/>
          <w:sz w:val="18"/>
        </w:rPr>
        <w:t xml:space="preserve">Bayerische Durchführungsverordnung Finanzausgleichsgesetz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19. Juli 2002</w:t>
      </w:r>
    </w:p>
    <w:p>
      <w:r>
        <w:t xml:space="preserve">Bayerisches Staatsministerium der Finanzen</w:t>
      </w:r>
    </w:p>
    <w:p>
      <w:r>
        <w:t xml:space="preserve">Prof. Dr. Kurt Faltlhauser, Staatsminister</w:t>
      </w:r>
    </w:p>
    <w:p>
      <w:r>
        <w:t xml:space="preserve">Bayerisches Staatsministerium des Innern</w:t>
      </w:r>
    </w:p>
    <w:p>
      <w:r>
        <w:t xml:space="preserve">Dr. Günther Beckstein, Staatsminister</w:t>
      </w:r>
    </w:p>
    <w:p>
      <w:r>
        <w:rPr>
          <w:color w:val="555555"/>
          <w:sz w:val="17"/>
        </w:rPr>
        <w:t xml:space="preserve">Zitiervorschlag: Schlussformel FAGDV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https://recht.nulegal.eu/gesetze/FAGDV/schlussformel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