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FAGDV (Bayern) — Finanzzuweisungen</w:t>
      </w:r>
    </w:p>
    <w:p>
      <w:r>
        <w:rPr>
          <w:color w:val="555555"/>
          <w:sz w:val="18"/>
        </w:rPr>
        <w:t xml:space="preserve">Bayerische Durchführungsverordnung Finanzausgleichsgesetz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Finanzzuweisungen nach Art. 7 Abs. 2 Nr. 2, 3, 4, 5 und Abs. 3 Halbsatz 2 sowie nach Art. 9 BayFAG werden jeweils zum 15. Februar, 15. Mai, 15. August und 15. November in vierteljährlichen Teilbeträgen ausbezahlt.</w:t>
      </w:r>
    </w:p>
    <w:p>
      <w:r>
        <w:rPr>
          <w:color w:val="555555"/>
          <w:sz w:val="17"/>
        </w:rPr>
        <w:t xml:space="preserve">Zitiervorschlag: § 7 FAGDV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https://recht.nulegal.eu/gesetze/FAGDV/7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