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FAGDV (Bayern) — Gebiets- und Bestandsänderungen</w:t>
      </w:r>
    </w:p>
    <w:p>
      <w:r>
        <w:rPr>
          <w:color w:val="555555"/>
          <w:sz w:val="18"/>
        </w:rPr>
        <w:t xml:space="preserve">Bayerische Durchführungsverordnung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Gebiets- und Bestandsänderungen werden, soweit sie nicht zu Beginn eines Jahres in Kraft treten, für den Finanzausgleich erst vom nächsten Jahr an wirksam. Soweit eine Gebiets- und Bestandsänderung nicht mehr für das nächste Jahr berücksichtigt werden kann, wird der Ausgleich im übernächsten Jahr vorgenommen.</w:t>
      </w:r>
    </w:p>
    <w:p>
      <w:r>
        <w:rPr>
          <w:color w:val="555555"/>
          <w:sz w:val="17"/>
        </w:rPr>
        <w:t xml:space="preserve">Zitiervorschlag: § 2 FAGDV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