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FAGDV (Bayern) — Kreis- und Bezirksumlage</w:t>
      </w:r>
    </w:p>
    <w:p>
      <w:r>
        <w:rPr>
          <w:color w:val="555555"/>
          <w:sz w:val="18"/>
        </w:rPr>
        <w:t xml:space="preserve">Bayerische Durchführungsverordnung Finanzausgleichsgesetz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Umlagebeträge gemäß Art. 18 und 21 BayFAG sind durch schriftlichen oder elektronischen Bescheid (Umlagebescheid) festzusetzen.</w:t>
      </w:r>
    </w:p>
    <w:p>
      <w:r>
        <w:t xml:space="preserve">(2) Der Umlagebescheid hat zu enthalten:</w:t>
      </w:r>
    </w:p>
    <w:p>
      <w:r>
        <w:t xml:space="preserve">1. die Höhe des durch die sonstigen Einnahmen nicht gedeckten Bedarfs, der nach Art. 18 und 21 BayFAG umgelegt werden soll (Umlagesoll),</w:t>
      </w:r>
    </w:p>
    <w:p>
      <w:r>
        <w:t xml:space="preserve">2. falls das Umlagesoll gegenüber dem Vorjahr erhöht worden ist, eine kurze Darlegung der Umstände, welche die Erhöhung notwendig machen,</w:t>
      </w:r>
    </w:p>
    <w:p>
      <w:r>
        <w:t xml:space="preserve">3. die Grundlagen, nach denen die Umlagen insgesamt und für den Umlageschuldner bemessen werden (Bemessungsgrundlagen),</w:t>
      </w:r>
    </w:p>
    <w:p>
      <w:r>
        <w:t xml:space="preserve">4. die Prozentsätze, mit denen die Umlagen bemessen werden (Umlagesätze),</w:t>
      </w:r>
    </w:p>
    <w:p>
      <w:r>
        <w:t xml:space="preserve">5. falls von der Möglichkeit Gebrauch gemacht wird, die Umlagesätze von den einzelnen Bemessungsgrundlagen verschieden festzusetzen (Art. 18 Abs. 3 Satz 3 und Art. 21 Abs. 3 Satz 3 BayFAG), die Angabe der Gründe, die dafür maßgebend waren,</w:t>
      </w:r>
    </w:p>
    <w:p>
      <w:r>
        <w:t xml:space="preserve">6. falls die Umlagebeschlüsse der aufsichtlichen Genehmigung bedürfen, die Angabe der Entscheidung, mit der die Genehmigung erteilt wurde,</w:t>
      </w:r>
    </w:p>
    <w:p>
      <w:r>
        <w:t xml:space="preserve">7. falls von der Möglichkeit des Art. 20 BayFAG Gebrauch gemacht wird, die Angabe der Tatsachen, die die Erhöhung der Umlagesätze und das Ausmaß der Erhöhung rechtfertigen.</w:t>
      </w:r>
    </w:p>
    <w:p>
      <w:r>
        <w:t xml:space="preserve">(3) Abs. 2 gilt nicht für die Fälle des Art. 19 Abs. 3 Satz 1 und des Art. 22 Abs. 3 Satz 1 BayFAG.</w:t>
      </w:r>
    </w:p>
    <w:p>
      <w:r>
        <w:rPr>
          <w:color w:val="555555"/>
          <w:sz w:val="17"/>
        </w:rPr>
        <w:t xml:space="preserve">Zitiervorschlag: § 17 FAGDV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https://recht.nulegal.eu/gesetze/FAGDV/17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