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FAG DV-Altlasten (Bayern) — Beleihung</w:t>
      </w:r>
    </w:p>
    <w:p>
      <w:r>
        <w:rPr>
          <w:color w:val="555555"/>
          <w:sz w:val="18"/>
        </w:rPr>
        <w:t xml:space="preserve">Altlasten FAG-Durchführungsverordnung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GAB wird jederzeit widerruflich beliehen mit den Aufgaben der Bewilligung, Abrechnung und Auszahlung der ergänzenden Finanzzuweisungen gemäß Art. 7 Abs. 4 FAG. Die Beliehene ist verpflichtet, alle personellen, organisatorischen und finanziellen Voraussetzungen zur ordnungsgemäßen Erfüllung der ihr nach Satz 1 übertragenen Aufgaben sicherzustellen. Bei der Wahrnehmung der übertragenen Aufgaben unterliegt die Beliehene der Aufsicht des Staatsministeriums für Umwelt und Verbraucherschutz (Staatsministerium).</w:t>
      </w:r>
    </w:p>
    <w:p>
      <w:r>
        <w:rPr>
          <w:color w:val="555555"/>
          <w:sz w:val="17"/>
        </w:rPr>
        <w:t xml:space="preserve">Zitiervorschlag: § 2 FAG DV-Altlasten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https://recht.nulegal.eu/gesetze/FAG%20DV-Altlasten/2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