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FAG DV-Altlasten (Bayern) — Begriffsbestimmungen</w:t>
      </w:r>
    </w:p>
    <w:p>
      <w:r>
        <w:rPr>
          <w:color w:val="555555"/>
          <w:sz w:val="18"/>
        </w:rPr>
        <w:t xml:space="preserve">Altlasten FAG-Durchführungsverordnung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Kostenersatz durch Dritte im Sinn des Art. 7 Abs. 4 Satz 1 des Finanzausgleichsgesetzes (FAG) kann von seiten des Störers, der Gesellschaft zur Altlastensanierung in Bayern mbH (GAB) oder aus sonstigen Finanzquellen erlangt werden.</w:t>
      </w:r>
    </w:p>
    <w:p>
      <w:r>
        <w:t xml:space="preserve">(2) Maßnahmen im Sinn dieser Verordnung sind Sanierungs-, Schutz- und Beschränkungsmaßnahmen gemäß § 2 Abs. 7 und 8 BBodSchG.</w:t>
      </w:r>
    </w:p>
    <w:p>
      <w:r>
        <w:rPr>
          <w:color w:val="555555"/>
          <w:sz w:val="17"/>
        </w:rPr>
        <w:t xml:space="preserve">Zitiervorschlag: § 1 FAG DV-Altlasten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https://recht.nulegal.eu/gesetze/FAG%20DV-Altlasten/1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FAG DV-Altlasten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