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FABaumPflPrV — Arbeitsprobe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In der Arbeitsprobe hat der Prüfling nachzuweisen, dass er in der Lage ist, eine Baumschadensdiagnose durchzuführen und das Ergebnis in einem Fachgespräch zu erläutern.</w:t>
      </w:r>
    </w:p>
    <w:p>
      <w:r>
        <w:t xml:space="preserve">(2) Für die Durchführung der Arbeitsprobe einschließlich des Fachgesprächs stehen 60 Minuten zur Verfügung.</w:t>
      </w:r>
    </w:p>
    <w:p>
      <w:r>
        <w:rPr>
          <w:color w:val="555555"/>
          <w:sz w:val="17"/>
        </w:rPr>
        <w:t xml:space="preserve">Zitiervorschlag: § 9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