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FABaumPflPrV — Voraussetzungen für die Zulassung zur Prüfung</w:t>
      </w:r>
    </w:p>
    <w:p>
      <w:r>
        <w:rPr>
          <w:color w:val="555555"/>
          <w:sz w:val="18"/>
        </w:rPr>
        <w:t xml:space="preserve">Fachagrarwirt-Baumpflege-Prüfungsverordnung</w:t>
      </w:r>
    </w:p>
    <w:p>
      <w:r>
        <w:rPr>
          <w:color w:val="555555"/>
          <w:sz w:val="18"/>
        </w:rPr>
        <w:t xml:space="preserve">Stand: 01.01.2021 (konsolidierte Textfassung, kein amtliches Inkrafttretensdatum)</w:t>
      </w:r>
    </w:p>
    <w:p>
      <w:r>
        <w:t xml:space="preserve">(1) Zur Prüfung ist zuzulassen, wer die Anforderungen des § 53c des Berufsbildungsgesetzes erfüllt und Folgendes nachweist:</w:t>
      </w:r>
    </w:p>
    <w:p>
      <w:pPr>
        <w:ind w:left="420"/>
      </w:pPr>
      <w:r>
        <w:t xml:space="preserve">1. eine erfolgreich abgelegte Abschlussprüfung in den anerkannten Ausbildungsberufen Forstwirt/Forstwirtin, Gärtner/Gärtnerin oder Landwirt/Landwirtin,</w:t>
      </w:r>
    </w:p>
    <w:p>
      <w:pPr>
        <w:ind w:left="420"/>
      </w:pPr>
      <w:r>
        <w:t xml:space="preserve">2. eine erfolgreich abgelegte Abschlussprüfung in einem anderen anerkannten Ausbildungsberuf und eine auf die Berufsausbildung folgende, mindestens dreijährige Berufspraxis oder</w:t>
      </w:r>
    </w:p>
    <w:p>
      <w:pPr>
        <w:ind w:left="420"/>
      </w:pPr>
      <w:r>
        <w:t xml:space="preserve">3. eine mindestens fünfjährige Berufspraxis.</w:t>
      </w:r>
    </w:p>
    <w:p>
      <w:r>
        <w:t xml:space="preserve">(2) Die Berufspraxis nach Absatz 1 Nummer 2 und 3 muss in Unternehmen, Behörden, Einrichtungen oder Teilen von diesen abgeleistet worden sein, die überwiegend Arbeiten in der Baumpflege durchführen. Die Berufspraxis muss in Bezug auf baumpflegerische Tätigkeiten einschlägig sein. Die Dauer und der Inhalt der Berufspraxis ist durch eine Bescheinigung der beschäftigenden Stelle nachzuweisen.</w:t>
      </w:r>
    </w:p>
    <w:p>
      <w:r>
        <w:t xml:space="preserve">(3) Abweichend von den in den Absätzen 1 und 2 genannten Voraussetzungen ist zur Prüfung auch zuzulassen, wer durch Vorlage von Zeugnissen oder auf andere Weise glaubhaft macht, eine berufliche Handlungsfähigkeit erworben zu haben, die die Zulassung zur Prüfung rechtfertigt.</w:t>
      </w:r>
    </w:p>
    <w:p>
      <w:r>
        <w:rPr>
          <w:color w:val="555555"/>
          <w:sz w:val="17"/>
        </w:rPr>
        <w:t xml:space="preserve">Zitiervorschlag: § 3 FABaumPflPrV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https://recht.nulegal.eu/gesetze/FABaumPflPrV/3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