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FABaumPflPrV — Inkrafttreten, Außerkrafttreten</w:t>
      </w:r>
    </w:p>
    <w:p>
      <w:r>
        <w:rPr>
          <w:color w:val="555555"/>
          <w:sz w:val="18"/>
        </w:rPr>
        <w:t xml:space="preserve">Fachagrarwirt-Baumpflege-Prüfungsverordnung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Diese Verordnung tritt am 1. Januar 2021 in Kraft. Gleichzeitig tritt die Verordnung über die Prüfung zum anerkannten Abschluss Geprüfter Fachagrarwirt/Geprüfte Fachagrarwirtin – Baumpflege und Baumsanierung vom 29. Juni 1993 (BGBl. I S. 1114) außer Kraft.</w:t>
      </w:r>
    </w:p>
    <w:p>
      <w:r>
        <w:rPr>
          <w:color w:val="555555"/>
          <w:sz w:val="17"/>
        </w:rPr>
        <w:t xml:space="preserve">Zitiervorschlag: § 26 FABaumPflPrV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https://recht.nulegal.eu/gesetze/FABaumPflPrV/26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