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FABaumPflPrV — Mündliche Ergänzungsprüfung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Wurde eine oder wurden zwei der schriftlichen Prüfungen nach den §§ 10, 14 und 18 schlechter als mit „ausreichend“ nach Anlage 1 bewertet, ist auf Antrag des Prüflings eine dieser Prüfungen durch eine mündliche Prüfung zu ergänzen, wenn dies den Ausschlag für das Bestehen der Prüfung insgesamt geben kann.</w:t>
      </w:r>
    </w:p>
    <w:p>
      <w:r>
        <w:t xml:space="preserve">(2) Die mündliche Ergänzungsprüfung soll nicht länger als 30 Minuten dauern.</w:t>
      </w:r>
    </w:p>
    <w:p>
      <w:r>
        <w:t xml:space="preserve">(3) Für die Ermittlung des Ergebnisses der ergänzten schriftlichen Prüfung ist die bisherige Note der schriftlichen Prüfung und die Note der mündlichen Ergänzungsprüfung im Verhältnis 2:1 zu gewichten.</w:t>
      </w:r>
    </w:p>
    <w:p>
      <w:r>
        <w:rPr>
          <w:color w:val="555555"/>
          <w:sz w:val="17"/>
        </w:rPr>
        <w:t xml:space="preserve">Zitiervorschlag: § 23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