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FABaumPflPrV — Bestehen der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Prüfung ist bestanden, wenn der Prüfling in jedem Prüfungsteil nach § 4 mindestens die Note „ausreichend“ nach Anlage 1 erzielt hat.</w:t>
      </w:r>
    </w:p>
    <w:p>
      <w:r>
        <w:t xml:space="preserve">(2) Die Prüfung ist nicht bestanden, wenn</w:t>
      </w:r>
    </w:p>
    <w:p>
      <w:pPr>
        <w:ind w:left="420"/>
      </w:pPr>
      <w:r>
        <w:t xml:space="preserve">1. eine der Leistungen in den einzelnen Prüfungsbestandteilen nach den §§ 7, 12 und 16 mit „ungenügend“ nach Anlage 1 bewertet worden ist oder</w:t>
      </w:r>
    </w:p>
    <w:p>
      <w:pPr>
        <w:ind w:left="420"/>
      </w:pPr>
      <w:r>
        <w:t xml:space="preserve">2. mehr als eine der in Nummer 1 genannten Leistungen mit „mangelhaft“ nach Anlage 1 bewertet worden ist.</w:t>
      </w:r>
    </w:p>
    <w:p>
      <w:r>
        <w:rPr>
          <w:color w:val="555555"/>
          <w:sz w:val="17"/>
        </w:rPr>
        <w:t xml:space="preserve">Zitiervorschlag: § 21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