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FABaumPflPrV — Schriftliche Prüfung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schriftliche Prüfung besteht aus einer unter Aufsicht anzufertigenden Arbeit mit komplexen fallbezogenen Aufgaben aus den Prüfungsinhalten nach § 15 Absatz 2.</w:t>
      </w:r>
    </w:p>
    <w:p>
      <w:r>
        <w:t xml:space="preserve">(2) Die Bearbeitungszeit für die schriftliche Prüfung beträgt 150 Minuten.</w:t>
      </w:r>
    </w:p>
    <w:p>
      <w:r>
        <w:rPr>
          <w:color w:val="555555"/>
          <w:sz w:val="17"/>
        </w:rPr>
        <w:t xml:space="preserve">Zitiervorschlag: § 18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