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FABaumPflPrV — Prüfungsbestandteile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Prüfung besteht aus</w:t>
      </w:r>
    </w:p>
    <w:p>
      <w:pPr>
        <w:ind w:left="420"/>
      </w:pPr>
      <w:r>
        <w:t xml:space="preserve">1. einer Fallstudie nach § 17 und</w:t>
      </w:r>
    </w:p>
    <w:p>
      <w:pPr>
        <w:ind w:left="420"/>
      </w:pPr>
      <w:r>
        <w:t xml:space="preserve">2. einer schriftlichen Prüfung nach § 18.</w:t>
      </w:r>
    </w:p>
    <w:p>
      <w:r>
        <w:rPr>
          <w:color w:val="555555"/>
          <w:sz w:val="17"/>
        </w:rPr>
        <w:t xml:space="preserve">Zitiervorschlag: § 16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