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FABaumPflPrV — Prüfungsbestandteile</w:t>
      </w:r>
    </w:p>
    <w:p>
      <w:r>
        <w:rPr>
          <w:color w:val="555555"/>
          <w:sz w:val="18"/>
        </w:rPr>
        <w:t xml:space="preserve">Fachagrarwirt-Baumpflege-Prüfungsverordnung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 Prüfung besteht aus</w:t>
      </w:r>
    </w:p>
    <w:p>
      <w:pPr>
        <w:ind w:left="420"/>
      </w:pPr>
      <w:r>
        <w:t xml:space="preserve">1. einer Fallstudie nach § 13 und</w:t>
      </w:r>
    </w:p>
    <w:p>
      <w:pPr>
        <w:ind w:left="420"/>
      </w:pPr>
      <w:r>
        <w:t xml:space="preserve">2. einer schriftlichen Prüfung nach § 14.</w:t>
      </w:r>
    </w:p>
    <w:p>
      <w:r>
        <w:rPr>
          <w:color w:val="555555"/>
          <w:sz w:val="17"/>
        </w:rPr>
        <w:t xml:space="preserve">Zitiervorschlag: § 12 FABaumPflPrV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https://recht.nulegal.eu/gesetze/FABaumPflPrV/12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