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FABaumPflPrV — Anforderungen und Prüfungsinhalte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Im Prüfungsteil Betriebs- und Unternehmensführung hat der Prüfling nachzuweisen, dass er wirtschaftliche, rechtliche und soziale Zusammenhänge im Betrieb erkennen, analysieren und beurteilen sowie Entwicklungsmöglichkeiten aufzeigen kann.</w:t>
      </w:r>
    </w:p>
    <w:p>
      <w:r>
        <w:t xml:space="preserve">(2) Die Prüfung erstreckt sich auf folgende Inhalte:</w:t>
      </w:r>
    </w:p>
    <w:p>
      <w:pPr>
        <w:ind w:left="420"/>
      </w:pPr>
      <w:r>
        <w:t xml:space="preserve">1. Unternehmensformen,</w:t>
      </w:r>
    </w:p>
    <w:p>
      <w:pPr>
        <w:ind w:left="420"/>
      </w:pPr>
      <w:r>
        <w:t xml:space="preserve">2. Rahmenbedingungen und Strukturen eines Baumpflegebetriebes,</w:t>
      </w:r>
    </w:p>
    <w:p>
      <w:pPr>
        <w:ind w:left="420"/>
      </w:pPr>
      <w:r>
        <w:t xml:space="preserve">3. Marketing einschließlich Kommunikation und Öffentlichkeitsarbeit,</w:t>
      </w:r>
    </w:p>
    <w:p>
      <w:pPr>
        <w:ind w:left="420"/>
      </w:pPr>
      <w:r>
        <w:t xml:space="preserve">4. Qualitätsmanagement und Controlling,</w:t>
      </w:r>
    </w:p>
    <w:p>
      <w:pPr>
        <w:ind w:left="420"/>
      </w:pPr>
      <w:r>
        <w:t xml:space="preserve">5. Betriebs- und Arbeitsorganisation,</w:t>
      </w:r>
    </w:p>
    <w:p>
      <w:pPr>
        <w:ind w:left="420"/>
      </w:pPr>
      <w:r>
        <w:t xml:space="preserve">6. Ausschreibungs- und Vergabewesen,</w:t>
      </w:r>
    </w:p>
    <w:p>
      <w:pPr>
        <w:ind w:left="420"/>
      </w:pPr>
      <w:r>
        <w:t xml:space="preserve">7. Angebotserstellung, Auftragserfassung und -abwicklung,</w:t>
      </w:r>
    </w:p>
    <w:p>
      <w:pPr>
        <w:ind w:left="420"/>
      </w:pPr>
      <w:r>
        <w:t xml:space="preserve">8. Abnahme von Dienstleistungen, Mängelansprüche,</w:t>
      </w:r>
    </w:p>
    <w:p>
      <w:pPr>
        <w:ind w:left="420"/>
      </w:pPr>
      <w:r>
        <w:t xml:space="preserve">9. betriebswirtschaftliche Kalkulationen und Auswertungen,</w:t>
      </w:r>
    </w:p>
    <w:p>
      <w:pPr>
        <w:ind w:left="420"/>
      </w:pPr>
      <w:r>
        <w:t xml:space="preserve">10. Betriebsentwicklung, insbesondere Investition und Finanzierung, Liquidität, Rentabilität und Stabilität,</w:t>
      </w:r>
    </w:p>
    <w:p>
      <w:pPr>
        <w:ind w:left="420"/>
      </w:pPr>
      <w:r>
        <w:t xml:space="preserve">11. Digitalisierung,</w:t>
      </w:r>
    </w:p>
    <w:p>
      <w:pPr>
        <w:ind w:left="420"/>
      </w:pPr>
      <w:r>
        <w:t xml:space="preserve">12. Datenschutz und Datenmanagement,</w:t>
      </w:r>
    </w:p>
    <w:p>
      <w:pPr>
        <w:ind w:left="420"/>
      </w:pPr>
      <w:r>
        <w:t xml:space="preserve">13. berufsbezogene Rechtsvorschriften, insbesondere Vertragsrecht und Haftungsrecht, Arbeitsrecht und Sozialrecht,</w:t>
      </w:r>
    </w:p>
    <w:p>
      <w:pPr>
        <w:ind w:left="420"/>
      </w:pPr>
      <w:r>
        <w:t xml:space="preserve">14. steuerliche Buchführung unter Beachtung von Steuerarten und -verfahren,</w:t>
      </w:r>
    </w:p>
    <w:p>
      <w:pPr>
        <w:ind w:left="420"/>
      </w:pPr>
      <w:r>
        <w:t xml:space="preserve">15. Unternehmensgründung sowie</w:t>
      </w:r>
    </w:p>
    <w:p>
      <w:pPr>
        <w:ind w:left="420"/>
      </w:pPr>
      <w:r>
        <w:t xml:space="preserve">16. Unternehmensabsicherung und Versicherungen.</w:t>
      </w:r>
    </w:p>
    <w:p>
      <w:r>
        <w:rPr>
          <w:color w:val="555555"/>
          <w:sz w:val="17"/>
        </w:rPr>
        <w:t xml:space="preserve">Zitiervorschlag: § 11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