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FA-ZVO (Nordrhein-Westfalen) — Investmentvermögen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Besteuerung von und die gesonderte Feststellung der Besteuerungsgrundlagen bei</w:t>
      </w:r>
    </w:p>
    <w:p>
      <w:r>
        <w:t xml:space="preserve">1. Sondervermögen und Kapitalanlagegesellschaften im Sinne des § 1 des Gesetzes über Kapitalanlagegesellschaften in der Fassung der Bekanntmachung vom 9. September 1998 (BGBl. I S. 2726) in der bis zum 31. Dezember 2003 geltenden Fassung,</w:t>
      </w:r>
    </w:p>
    <w:p>
      <w:r>
        <w:t xml:space="preserve">2. Investmentvermögen im Sinne des § 1 Satz 1 Nummer 1 sowie Kapitalanlagegesellschaften im Sinne des § 2 Absatz 6 des Investmentgesetzes vom 15. Dezember 2003 (BGBl. I S. 2676) in der bis zum 21. Juli 2013 geltenden Fassung,</w:t>
      </w:r>
    </w:p>
    <w:p>
      <w:r>
        <w:t xml:space="preserve">3. inländischen Investmentfonds im Sinne des § 1 Absatz 1b Satz 2 in Verbindung mit Absatz 1f des Investmentsteuergesetzes vom 15. Dezember 2003 (BGBl. I S. 2676,2724), in der bis zum 31. Dezember 2017 geltenden Fassung,</w:t>
      </w:r>
    </w:p>
    <w:p>
      <w:r>
        <w:t xml:space="preserve">4. Kapitalverwaltungsgesellschaften im Sinne des § 17 Absatz 1 Satz 1 in Verbindung mit Absatz 2 Nummer 1 des Kapitalanlagegesetzbuches vom 4. Juli 2013 (BGBl. I S. 1981), in der jeweils geltenden Fassung,</w:t>
      </w:r>
    </w:p>
    <w:p>
      <w:r>
        <w:t xml:space="preserve">5. Investmentfonds im Sinne des § 1 Absatz 1 des Investmentsteuergesetzes vom 19. Juli 2016 (BGBl. I S. 1730) in der jeweils geltenden Fassung</w:t>
      </w:r>
    </w:p>
    <w:p>
      <w:r>
        <w:t xml:space="preserve">nach dem Körperschaftsteuergesetz, dem Gewerbesteuergesetz in der Fassung der Bekanntmachung vom 15. Oktober 2002 (BGBl. I S. 4167) in der jeweils geltenden Fassung, dem Umsatzsteuergesetz in der Fassung der Bekanntmachung vom 21. Februar 2005 (BGBl. I S. 386) in der jeweils geltenden Fassung, dem Vermögensteuergesetz in der Fassung der Bekanntmachung vom 14. November 1990 (BGBl. I S. 2467) in der jeweils geltenden Fassung, dem Gesetz über Kapitalanlagegesellschaften und dem Investmentsteuergesetz sowie die diesbezügliche Körperschaftsteuerzerlegung, die Einheitsbewertung des Betriebsvermögens und die Anteilsbewertung ist abweichend von der Bezirksgliederung des § 2 zuständig</w:t>
      </w:r>
    </w:p>
    <w:p>
      <w:r>
        <w:t xml:space="preserve">a) im Oberfinanzbezirk Düsseldorf</w:t>
      </w:r>
    </w:p>
    <w:p>
      <w:r>
        <w:t xml:space="preserve">das Finanzamt Düsseldorf-Mitte</w:t>
      </w:r>
    </w:p>
    <w:p>
      <w:r>
        <w:t xml:space="preserve">für die Bezirke aller Finanzämter des Oberfinanzbezirks Düsseldorf,</w:t>
      </w:r>
    </w:p>
    <w:p>
      <w:r>
        <w:t xml:space="preserve">b) im Oberfinanzbezirk Köln und Münster</w:t>
      </w:r>
    </w:p>
    <w:p>
      <w:r>
        <w:t xml:space="preserve">das Finanzamt Köln-Mitte</w:t>
      </w:r>
    </w:p>
    <w:p>
      <w:r>
        <w:t xml:space="preserve">für die Bezirke aller Finanzämter des Oberfinanzbezirks Köln und Münster.</w:t>
      </w:r>
    </w:p>
    <w:p>
      <w:r>
        <w:rPr>
          <w:color w:val="555555"/>
          <w:sz w:val="17"/>
        </w:rPr>
        <w:t xml:space="preserve">Zitiervorschlag: § 8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