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FA-ZVO (Nordrhein-Westfalen) — Kassenaufgaben in Straf- und Bußgeldverfahren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Kassenaufgaben in Straf- und Bußgeldverfahren ist abweichend von der Bezirksgliederung des § 2 das Finanzamt Düsseldorf-Süd für die Bezirke aller Finanzämter des Landes Nordrhein-Westfalen zuständig.</w:t>
      </w:r>
    </w:p>
    <w:p>
      <w:r>
        <w:t xml:space="preserve">(2) Abweichend von Absatz 1 vereinnahmt die Geschäftsstelle des Landesamts zur Bekämpfung der Finanzkriminalität des Landes Nordrhein-Westfalen, im Folgenden LBF NRW, die Geldbeträge nach § 398a der Abgabenordnung.</w:t>
      </w:r>
    </w:p>
    <w:p>
      <w:r>
        <w:rPr>
          <w:color w:val="555555"/>
          <w:sz w:val="17"/>
        </w:rPr>
        <w:t xml:space="preserve">Zitiervorschlag: § 7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