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FüAkV (Bayern)</w:t>
      </w:r>
    </w:p>
    <w:p>
      <w:r>
        <w:rPr>
          <w:color w:val="555555"/>
          <w:sz w:val="18"/>
        </w:rPr>
        <w:t xml:space="preserve">Verordnung über die Staatliche Führungsakademie für Ernährung, Landwirtschaft und Forsten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Juni 1979 in Kraft. (gegenstandslos)</w:t>
      </w:r>
    </w:p>
    <w:p>
      <w:r>
        <w:t xml:space="preserve">[Amtl. Anm.:] Betrifft die ursprüngliche Fassung vom 8. Mai 1979 (GVBl. S. 107)</w:t>
      </w:r>
    </w:p>
    <w:p>
      <w:r>
        <w:rPr>
          <w:color w:val="555555"/>
          <w:sz w:val="17"/>
        </w:rPr>
        <w:t xml:space="preserve">Zitiervorschlag: § 4 FüAkV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https://recht.nulegal.eu/gesetze/F%C3%BCAkV/4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