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FüAkV (Bayern)</w:t>
      </w:r>
    </w:p>
    <w:p>
      <w:r>
        <w:rPr>
          <w:color w:val="555555"/>
          <w:sz w:val="18"/>
        </w:rPr>
        <w:t xml:space="preserve">Verordnung über die Staatliche Führungsakademie für Ernährung, Landwirtschaft und Forsten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Führungsakademie obliegen</w:t>
      </w:r>
    </w:p>
    <w:p>
      <w:r>
        <w:t xml:space="preserve">a) die Aus- und Fortbildung im Geschäftsbereich des Staatsministeriums unbeschadet der Zuständigkeit sonstiger Einrichtungen,</w:t>
      </w:r>
    </w:p>
    <w:p>
      <w:r>
        <w:t xml:space="preserve">b) die Erarbeitung von Grundlagen für Landwirtschaftsverwaltung und Unterricht in Zusammenarbeit mit den fachlich zuständigen Institutionen sowie die Erarbeitung methodischer und didaktischer Grundlagen für die Landwirtschaftsberatung,</w:t>
      </w:r>
    </w:p>
    <w:p>
      <w:r>
        <w:t xml:space="preserve">c) die Unterstützung des Staatsministeriums bei der Führung der Ämter für Landwirtschaft und Forsten und</w:t>
      </w:r>
    </w:p>
    <w:p>
      <w:r>
        <w:t xml:space="preserve">d) der Vollzug der einschlägigen Rechts- und Verwaltungsvorschriften.</w:t>
      </w:r>
    </w:p>
    <w:p>
      <w:r>
        <w:t xml:space="preserve">Die Aus- und Fortbildung kann sich auch auf Fachkräfte nicht staatlicher Einrichtungen erstrecken, soweit der Geschäftsbereich berührt ist.</w:t>
      </w:r>
    </w:p>
    <w:p>
      <w:r>
        <w:rPr>
          <w:color w:val="555555"/>
          <w:sz w:val="17"/>
        </w:rPr>
        <w:t xml:space="preserve">Zitiervorschlag: § 2 FüAkV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https://recht.nulegal.eu/gesetze/F%C3%BCAkV/2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