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 FördbankG (Sachsen) — Übergangsregelung für den Verwaltungsrat</w:t>
      </w:r>
    </w:p>
    <w:p>
      <w:r>
        <w:rPr>
          <w:color w:val="555555"/>
          <w:sz w:val="18"/>
        </w:rPr>
        <w:t xml:space="preserve">Gesetz zur Errichtung der Sächsischen Aufbaubank – Förderbank –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zum Zeitpunkt des Wirksamwerdens dieses Gesetzes in den Aufsichtsrat der SAB GmbH entsandten oder gewählten Mitglieder des Aufsichtsrats gelten mit dem Zeitpunkt des In-Kraft-Tretens dieses Gesetzes für die Dauer der laufenden Amtszeit als nach § 13 Abs. 3 und 4 bestellte Mitglieder des Verwaltungsrats.</w:t>
      </w:r>
    </w:p>
    <w:p>
      <w:r>
        <w:t xml:space="preserve">(2) Die stellvertretenden Verwaltungsratsmitglieder werden für die Dauer der laufenden Amtszeit neu bestellt.</w:t>
      </w:r>
    </w:p>
    <w:p>
      <w:r>
        <w:rPr>
          <w:color w:val="555555"/>
          <w:sz w:val="17"/>
        </w:rPr>
        <w:t xml:space="preserve">Zitiervorschlag: § 23 FördbankG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https://recht.nulegal.eu/gesetze/F%C3%B6rdbankG/23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 FördbankG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