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FölSO (Bayern) — Leistungsnachweise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allen Pflichtfächern, Wahlpflichtfächern und in den Wahlfächern Deutsch, Sozialkunde und Englisch werden in der Regel schriftliche und mündliche Leistungsnachweise in angemessener Zahl und angemessenem Umfang verlangt.</w:t>
      </w:r>
    </w:p>
    <w:p>
      <w:r>
        <w:t xml:space="preserve">(2) An einem Unterrichtstag soll in der Regel nur ein schriftlicher Leistungsnachweis verlangt werden; der Termin ist mindestens eine Woche vorher anzukündigen.</w:t>
      </w:r>
    </w:p>
    <w:p>
      <w:r>
        <w:t xml:space="preserve">(3) § 25 Abs. 1 Satz 1 und 2 gilt entsprechend.</w:t>
      </w:r>
    </w:p>
    <w:p>
      <w:r>
        <w:t xml:space="preserve">(4) Die Leistungsnachweise sind so bald wie möglich zu bewerten und mit den Studierenden zu besprechen; die erreichte Note ist mitzuteilen. Die Bewertung erfolgt mit den Notenstufen gemäß Art. 52 Abs. 2 BayEUG; Zwischennoten sind nicht zulässig. Die Leistungsnachweise sind bis ein Jahr nach Ende der Ausbildung an der jeweiligen Abteilung des Staatsinstituts aufzubewahren.</w:t>
      </w:r>
    </w:p>
    <w:p>
      <w:r>
        <w:rPr>
          <w:color w:val="555555"/>
          <w:sz w:val="17"/>
        </w:rPr>
        <w:t xml:space="preserve">Zitiervorschlag: § 9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