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FölSO (Bayern) — Stundentafeln, Lehrpläne, Stundenplan, Ausbildungsveranstaltungen, Ferien</w:t>
      </w:r>
    </w:p>
    <w:p>
      <w:r>
        <w:rPr>
          <w:color w:val="555555"/>
          <w:sz w:val="18"/>
        </w:rPr>
        <w:t xml:space="preserve">Förderlehrerstudienordnung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den Unterricht gelten die vom Staatsministerium erlassenen Stundentafeln und Lehrpläne.</w:t>
      </w:r>
    </w:p>
    <w:p>
      <w:r>
        <w:t xml:space="preserve">(2) Der Stundenplan wird von der Leitung der Abteilung festgesetzt.</w:t>
      </w:r>
    </w:p>
    <w:p>
      <w:r>
        <w:t xml:space="preserve">(3) Die Stundentafeln können Unterricht auch in Form von Vorlesungen, Seminaren und schulpraktischen Veranstaltungen und als Pflichtveranstaltungen, Wahlpflichtveranstaltungen sowie Wahlveranstaltungen vorsehen. In geeigneten Fällen können Ausbildungskurse und Praktika auch in Blockform, in den Ferienzeiten sowie außerhalb des Staatsinstituts abgehalten werden.</w:t>
      </w:r>
    </w:p>
    <w:p>
      <w:r>
        <w:t xml:space="preserve">(4) Die Ferien richten sich nach der allgemeinen Ferienordnung (Art. 5 Abs. 2 BayEUG). Das Staatsministerium kann aus besonderen Gründen Abweichungen von der Ferienordnung anordnen oder genehmigen.</w:t>
      </w:r>
    </w:p>
    <w:p>
      <w:r>
        <w:t xml:space="preserve">(5) § 19 Abs. 4 der Bayerischen Schulordnung (BaySchO) gilt entsprechend. Mit Genehmigung des Staatsministeriums kann in organisatorisch oder pädagogisch begründeten Fällen der Unterricht in einzelnen Fächern in begrenztem Umfang als Distanzunterricht abgehalten werden. Die Lehrerkonferenz ist vorher anzuhören.</w:t>
      </w:r>
    </w:p>
    <w:p>
      <w:r>
        <w:rPr>
          <w:color w:val="555555"/>
          <w:sz w:val="17"/>
        </w:rPr>
        <w:t xml:space="preserve">Zitiervorschlag: § 8 FölSO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https://recht.nulegal.eu/gesetze/F%C3%B6lSO/8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