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FölSO (Bayern) — Inkrafttreten, Übergangsbestimmungen</w:t>
      </w:r>
    </w:p>
    <w:p>
      <w:r>
        <w:rPr>
          <w:color w:val="555555"/>
          <w:sz w:val="18"/>
        </w:rPr>
        <w:t xml:space="preserve">Förderlehrerstudienordnung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August 2008 in Kraft.</w:t>
      </w:r>
    </w:p>
    <w:p>
      <w:r>
        <w:t xml:space="preserve">(2) Für Studierende, die die Ausbildung vor dem 1. August 2018 begonnen und ohne Unterbrechung fortgesetzt haben, gilt die Förderlehrerstudienordnung in der am 30. November 2021 geltenden Fassung.</w:t>
      </w:r>
    </w:p>
    <w:p>
      <w:r>
        <w:rPr>
          <w:color w:val="555555"/>
          <w:sz w:val="17"/>
        </w:rPr>
        <w:t xml:space="preserve">Zitiervorschlag: § 32 FölSO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https://recht.nulegal.eu/gesetze/F%C3%B6lSO/32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