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FölSO (Bayern) — Aufgaben des Staatsministeriums</w:t>
      </w:r>
    </w:p>
    <w:p>
      <w:r>
        <w:rPr>
          <w:color w:val="555555"/>
          <w:sz w:val="18"/>
        </w:rPr>
        <w:t xml:space="preserve">Förderlehrerstudienordnung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Dem Staatsministerium obliegt es,</w:t>
      </w:r>
    </w:p>
    <w:p>
      <w:r>
        <w:t xml:space="preserve">1. die Termine der schriftlichen Prüfungen und die allgemeinen Termine für die mündlichen Prüfungen zu bestimmen, für ihre rechtzeitige Bekanntgabe zu sorgen und sie der Geschäftsstelle des Landespersonalausschusses mitzuteilen,</w:t>
      </w:r>
    </w:p>
    <w:p>
      <w:r>
        <w:t xml:space="preserve">2. die Aufgaben für die schriftlichen Prüfungsarbeiten zu bestimmen,</w:t>
      </w:r>
    </w:p>
    <w:p>
      <w:r>
        <w:t xml:space="preserve">3. über die Zulassung von Hilfsmitteln zu entscheiden.</w:t>
      </w:r>
    </w:p>
    <w:p>
      <w:r>
        <w:rPr>
          <w:color w:val="555555"/>
          <w:sz w:val="17"/>
        </w:rPr>
        <w:t xml:space="preserve">Zitiervorschlag: § 19 FölSO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https://recht.nulegal.eu/gesetze/F%C3%B6lSO/19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