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FöProMoSpo2022 (Nordrhein-Westfalen)</w:t>
      </w:r>
    </w:p>
    <w:p>
      <w:r>
        <w:rPr>
          <w:color w:val="555555"/>
          <w:sz w:val="18"/>
        </w:rPr>
        <w:t xml:space="preserve">Übertragungsverordnung Förderprogramm Moderne Sportstätte 2022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21. Januar 2025</w:t>
      </w:r>
    </w:p>
    <w:p>
      <w:r>
        <w:t xml:space="preserve">Auf Grund des § 3 Absatz 7 des Gesetzes über die NRW.BANK vom 16. März 2004 (GV. NRW. S. 126), das zuletzt durch Artikel 1 des Gesetzes vom 19. Dezember 2023 (GV. NRW. S. 1456) geändert worden ist, verordnet der Ministerpräsident im Einvernehmen mit der NRW.BANK und dem Ministerium der Finanzen sowie im Benehmen mit dem Haushalts- und Finanzausschuss des Landtags:</w:t>
      </w:r>
    </w:p>
    <w:p>
      <w:r>
        <w:rPr>
          <w:color w:val="555555"/>
          <w:sz w:val="17"/>
        </w:rPr>
        <w:t xml:space="preserve">Zitiervorschlag: Volltext FöProMoSpo2022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https://recht.nulegal.eu/gesetze/F%C3%B6ProMoSpo2022/volltext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