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FöProMoSpo2022 (Nordrhein-Westfalen) — Aufgabenübertragung</w:t>
      </w:r>
    </w:p>
    <w:p>
      <w:r>
        <w:rPr>
          <w:color w:val="555555"/>
          <w:sz w:val="18"/>
        </w:rPr>
        <w:t xml:space="preserve">Übertragungsverordnung Förderprogramm Moderne Sportstätte 2022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NRW.BANK wird die Durchführung des Programms „Moderne Sportstätte 2022“ zur ausschließlichen Wahrnehmung als Bewilligungsbehörde übertragen.</w:t>
      </w:r>
    </w:p>
    <w:p>
      <w:r>
        <w:t xml:space="preserve">Die Einzelheiten der Übertragung der Aufgabe auf die NRW.BANK werden soweit erforderlich mittels öffentlich-rechtlichen Vertrags geregelt.</w:t>
      </w:r>
    </w:p>
    <w:p>
      <w:r>
        <w:rPr>
          <w:color w:val="555555"/>
          <w:sz w:val="17"/>
        </w:rPr>
        <w:t xml:space="preserve">Zitiervorschlag: § 1 FöProMoSpo2022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https://recht.nulegal.eu/gesetze/F%C3%B6ProMoSpo2022/1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