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FäV</w:t>
      </w:r>
    </w:p>
    <w:p>
      <w:r>
        <w:rPr>
          <w:color w:val="555555"/>
          <w:sz w:val="18"/>
        </w:rPr>
        <w:t xml:space="preserve">Fährenbetriebsverordnung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3 Abs. 1 Nr. 1 und 2 und Abs. 5 Satz 3 des Binnenschiffahrtsaufgabengesetzes in der Fassung der Bekanntmachung vom 4. August 1986 (BGBl. I S. 1270) verordnet das Bundesministerium für Verkehr im Einvernehmen mit dem Bundesministerium für Arbeit und Sozialordnung,</w:t>
      </w:r>
    </w:p>
    <w:p>
      <w:pPr>
        <w:ind w:left="420"/>
      </w:pPr>
      <w:r>
        <w:t xml:space="preserve">- des § 4 Abs. 2 Satz 1 und 3 des Binnenschiffahrtsaufgabengesetzes in Verbindung mit dem 2. Abschnitt des Verwaltungskostengesetzes vom 23. Juni 1970 (BGBl. I S. 821) verordnet das Bundesministerium für Verkehr im Einvernehmen mit dem Bundesministerium der Finanzen,</w:t>
      </w:r>
    </w:p>
    <w:p>
      <w:pPr>
        <w:ind w:left="420"/>
      </w:pPr>
      <w:r>
        <w:t xml:space="preserve">- des § 27 Abs. 1 des Bundeswasserstraßengesetzes in der Fassung der Bekanntmachung vom 23. August 1990 (BGBl. I S. 1818) verordnet das Bundesministerium für Verkehr:</w:t>
      </w:r>
    </w:p>
    <w:p>
      <w:r>
        <w:rPr>
          <w:color w:val="555555"/>
          <w:sz w:val="17"/>
        </w:rPr>
        <w:t xml:space="preserve">Zitiervorschlag: Eingangsformel FäV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https://recht.nulegal.eu/gesetze/F%C3%A4V/eingangsformel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