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FäV — Fahrpläne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Fährinhaber, deren Fähren nach einem festen Fahrplan verkehren, haben diesen vor Eröffnung des Fährbetriebes der Aufsichtsbehörde mitzuteilen. Fahrplanänderungen müssen der Aufsichtsbehörde vor deren Inkrafttreten mitgeteilt werden.</w:t>
      </w:r>
    </w:p>
    <w:p>
      <w:r>
        <w:t xml:space="preserve">(2) Der Fährinhaber muß den Fahrplan durch Aushang an den Anlegestellen und auf der Fähre bekanntmachen.</w:t>
      </w:r>
    </w:p>
    <w:p>
      <w:r>
        <w:rPr>
          <w:color w:val="555555"/>
          <w:sz w:val="17"/>
        </w:rPr>
        <w:t xml:space="preserve">Zitiervorschlag: § 5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