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FäV — Überwachung der für den Betrieb der Fähre erforderlichen landseitigen Anlagen und ihr Zusammenwirken mit der Fähre</w:t>
      </w:r>
    </w:p>
    <w:p>
      <w:r>
        <w:rPr>
          <w:color w:val="555555"/>
          <w:sz w:val="18"/>
        </w:rPr>
        <w:t xml:space="preserve">Fährenbetriebsverordnung</w:t>
      </w:r>
    </w:p>
    <w:p>
      <w:r>
        <w:rPr>
          <w:color w:val="555555"/>
          <w:sz w:val="18"/>
        </w:rPr>
        <w:t xml:space="preserve">Stand: 10.06.2019 (konsolidierte Textfassung, kein amtliches Inkrafttretensdatum)</w:t>
      </w:r>
    </w:p>
    <w:p>
      <w:r>
        <w:t xml:space="preserve">(1) Die Aufsichtsbehörde überwacht den sicheren Zustand der für den Betrieb der Fähre erforderlichen landseitigen Anlagen aus strompolizeilicher Sicht, soweit diese nicht der technischen Zulassung nach der Binnenschiffsuntersuchungsordnung unterliegen. Der Fährinhaber hat den sicheren Zustand der landseitigen Anlagen auf besondere Anforderung durch die Aufsichtsbehörde durch ein Gutachten eines Technischen Überwachungsvereins oder eines öffentlich bestellten und vereidigten Sachverständigen nachzuweisen.</w:t>
      </w:r>
    </w:p>
    <w:p>
      <w:r>
        <w:t xml:space="preserve">(2) Die Aufsichtsbehörde kann unbeschadet des Absatzes 1 jederzeit das sichere Zusammenwirken einer Fähre mit den für ihren Betrieb erforderlichen landseitigen Anlagen überprüfen. Unbeschadet des § 6 Absatz 2 des Binnenschifffahrtsaufgabengesetzes sind der Fährinhaber und der Fährführer verpflichtet, auf Verlangen der Aufsichtsbehörde die zur Überprüfung des Zusammenwirkens der Fähre mit den für ihren Betrieb erforderlichen landseitigen Anlagen notwendigen Probefahrten durchzuführen oder solche zu dulden.</w:t>
      </w:r>
    </w:p>
    <w:p>
      <w:r>
        <w:rPr>
          <w:color w:val="555555"/>
          <w:sz w:val="17"/>
        </w:rPr>
        <w:t xml:space="preserve">Zitiervorschlag: § 4 FäV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https://recht.nulegal.eu/gesetze/F%C3%A4V/4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