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FäV — Ausnahmen vom Anwendungsbereich</w:t>
      </w:r>
    </w:p>
    <w:p>
      <w:r>
        <w:rPr>
          <w:color w:val="555555"/>
          <w:sz w:val="18"/>
        </w:rPr>
        <w:t xml:space="preserve">Fährenbetriebsverordnung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ist nicht anzuwenden auf Fähren</w:t>
      </w:r>
    </w:p>
    <w:p>
      <w:pPr>
        <w:ind w:left="420"/>
      </w:pPr>
      <w:r>
        <w:t xml:space="preserve">1. der Bundeswehr,</w:t>
      </w:r>
    </w:p>
    <w:p>
      <w:pPr>
        <w:ind w:left="420"/>
      </w:pPr>
      <w:r>
        <w:t xml:space="preserve">2. der Bundespolizei,</w:t>
      </w:r>
    </w:p>
    <w:p>
      <w:pPr>
        <w:ind w:left="420"/>
      </w:pPr>
      <w:r>
        <w:t xml:space="preserve">3. der Bereitschaftspolizeien der Länder,</w:t>
      </w:r>
    </w:p>
    <w:p>
      <w:pPr>
        <w:ind w:left="420"/>
      </w:pPr>
      <w:r>
        <w:t xml:space="preserve">4. des Zivil- und Katastrophenschutzes,</w:t>
      </w:r>
    </w:p>
    <w:p>
      <w:pPr>
        <w:ind w:left="420"/>
      </w:pPr>
      <w:r>
        <w:t xml:space="preserve">5. der Wasserstraßen- und Schifffahrtsverwaltung des Bundes, die nicht im öffentlichen Verkehr verwendet werden; für die übrigen Fähren der Wasserstraßen- und Schifffahrtsverwaltung des Bundes gelten die §§ 4, 5 und 6 nicht,</w:t>
      </w:r>
    </w:p>
    <w:p>
      <w:pPr>
        <w:ind w:left="420"/>
      </w:pPr>
      <w:r>
        <w:t xml:space="preserve">6. der deutsch-luxemburgischen Grenzstrecke der Mosel.</w:t>
      </w:r>
    </w:p>
    <w:p>
      <w:r>
        <w:rPr>
          <w:color w:val="555555"/>
          <w:sz w:val="17"/>
        </w:rPr>
        <w:t xml:space="preserve">Zitiervorschlag: § 3 FäV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https://recht.nulegal.eu/gesetze/F%C3%A4V/3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