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FäV — Anwendungsbereich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den Betrieb und die Aufsicht über die Fähren auf den Bundeswasserstraßen der Zonen 2 bis 4 nach Anhang I der Binnenschiffsuntersuchungsordnung vom 21. September 2018 (BGBl. I S. 1398) in der jeweils geltenden und anzuwendenden Fassung,</w:t>
      </w:r>
    </w:p>
    <w:p>
      <w:pPr>
        <w:ind w:left="420"/>
      </w:pPr>
      <w:r>
        <w:t xml:space="preserve">2. das Verhalten des Fährpersonals, der Fährbenutzer an Bord und an den Anlegestellen.</w:t>
      </w:r>
    </w:p>
    <w:p>
      <w:r>
        <w:rPr>
          <w:color w:val="555555"/>
          <w:sz w:val="17"/>
        </w:rPr>
        <w:t xml:space="preserve">Zitiervorschlag: § 2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