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FäV — Inkrafttreten, Außerkrafttreten</w:t>
      </w:r>
    </w:p>
    <w:p>
      <w:r>
        <w:rPr>
          <w:color w:val="555555"/>
          <w:sz w:val="18"/>
        </w:rPr>
        <w:t xml:space="preserve">Fährenbetriebsverordnung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Juli 1995 in Kraft.</w:t>
      </w:r>
    </w:p>
    <w:p>
      <w:r>
        <w:t xml:space="preserve">(2) Gleichzeitig treten außer Kraft</w:t>
      </w:r>
    </w:p>
    <w:p>
      <w:pPr>
        <w:ind w:left="420"/>
      </w:pPr>
      <w:r>
        <w:t xml:space="preserve">1. die Rheinfährenordnung in der im Bundesgesetzblatt Teil III, Gliederungsnummer 9501-11, veröffentlichten bereinigten Fassung, zuletzt geändert durch Artikel 48 Abs. 2 des Gesetzes vom 18. Februar 1986 (BGBl. I S. 265), mit Ausnahme des § 1 Abs. 1, der §§ 23 bis 34, 50 und 51 sowie der Anlage 7,</w:t>
      </w:r>
    </w:p>
    <w:p>
      <w:pPr>
        <w:ind w:left="420"/>
      </w:pPr>
      <w:r>
        <w:t xml:space="preserve">2. die Verordnung über den Verkehr und den Betrieb der Fähren auf Bundeswasserstraßen vom 8. März 1967 (BGBl. II S. 1141), zuletzt geändert durch § 11.06 Abs. 2 der Verordnung vom 14. Januar 1977 (BGBl. I S. 59),</w:t>
      </w:r>
    </w:p>
    <w:p>
      <w:pPr>
        <w:ind w:left="420"/>
      </w:pPr>
      <w:r>
        <w:t xml:space="preserve">3. die Donaufährenverordnung vom 4. Oktober 1965 (Verkehrsblatt S. 580), geändert durch Verordnung vom 20. März 1969 (Verkehrsblatt S. 184),</w:t>
      </w:r>
    </w:p>
    <w:p>
      <w:pPr>
        <w:ind w:left="420"/>
      </w:pPr>
      <w:r>
        <w:t xml:space="preserve">4. die Verordnung über Fähren auf dem Edersee vom 22. April 1985 (Verkehrsblatt S. 317),</w:t>
      </w:r>
    </w:p>
    <w:p>
      <w:pPr>
        <w:ind w:left="420"/>
      </w:pPr>
      <w:r>
        <w:t xml:space="preserve">5. die Schiffahrtspolizeiverordnung über die Feuersicherheit der mit Motoren betriebenen Fahrgastschiffe und Fähren in der Binnenschiffahrt vom 16. März 1952 (BAnz. Nr. 54 vom 18. März 1952).</w:t>
      </w:r>
    </w:p>
    <w:p>
      <w:r>
        <w:t xml:space="preserve">(3) Fährprüfungsbücher auf Grund einer nach Absatz 2 außer Kraft tretenden Vorschrift dürfen aufgebraucht werden.</w:t>
      </w:r>
    </w:p>
    <w:p>
      <w:r>
        <w:rPr>
          <w:color w:val="555555"/>
          <w:sz w:val="17"/>
        </w:rPr>
        <w:t xml:space="preserve">Zitiervorschlag: § 17 FäV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https://recht.nulegal.eu/gesetze/F%C3%A4V/17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