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16 FäV — Ordnungswidrigkeiten</w:t>
      </w:r>
    </w:p>
    <w:p>
      <w:r>
        <w:rPr>
          <w:color w:val="555555"/>
          <w:sz w:val="18"/>
        </w:rPr>
        <w:t xml:space="preserve">Fährenbetriebsverordnung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Ordnungswidrig im Sinne des § 7 Abs. 1 des Binnenschiffahrtsaufgabengesetzes handelt, wer vorsätzlich oder fahrlässig</w:t>
      </w:r>
    </w:p>
    <w:p>
      <w:pPr>
        <w:ind w:left="420"/>
      </w:pPr>
      <w:r>
        <w:t xml:space="preserve">1. als Fährinhaber</w:t>
      </w:r>
    </w:p>
    <w:p>
      <w:pPr>
        <w:ind w:left="780"/>
      </w:pPr>
      <w:r>
        <w:t xml:space="preserve">a) entgegen § 4 Absatz 2 Satz 2 eine Probefahrt nicht oder nicht rechtzeitig durchführt oder nicht duldet,</w:t>
      </w:r>
    </w:p>
    <w:p>
      <w:pPr>
        <w:ind w:left="780"/>
      </w:pPr>
      <w:r>
        <w:t xml:space="preserve">b) entgegen § 5 Abs. 1 eine Mitteilung nicht oder nicht rechtzeitig macht,</w:t>
      </w:r>
    </w:p>
    <w:p>
      <w:pPr>
        <w:ind w:left="780"/>
      </w:pPr>
      <w:r>
        <w:t xml:space="preserve">c) entgegen § 6 den Fährbetrieb von einer anderen als den dort genannten Anlegestellen aus durchführt oder durchführen läßt,</w:t>
      </w:r>
    </w:p>
    <w:p>
      <w:pPr>
        <w:ind w:left="780"/>
      </w:pPr>
      <w:r>
        <w:t xml:space="preserve">d) entgegen § 7 Abs. 5 Satz 2 oder § 14 Abs. 1 Satz 1 nicht dafür sorgt, daß die dort genannten Hinweistafeln angebracht werden, oder</w:t>
      </w:r>
    </w:p>
    <w:p>
      <w:pPr>
        <w:ind w:left="780"/>
      </w:pPr>
      <w:r>
        <w:t xml:space="preserve">e) entgegen § 14 Abs. 2 Satz 2 eine Hinweistafel entfernt, verändert oder unkenntlich macht,</w:t>
      </w:r>
    </w:p>
    <w:p>
      <w:pPr>
        <w:ind w:left="420"/>
      </w:pPr>
      <w:r>
        <w:t xml:space="preserve">2. als Fährführer</w:t>
      </w:r>
    </w:p>
    <w:p>
      <w:pPr>
        <w:ind w:left="780"/>
      </w:pPr>
      <w:r>
        <w:t xml:space="preserve">a) entgegen § 4 Absatz 2 Satz 2 eine Probefahrt nicht oder nicht rechtzeitig durchführt oder nicht duldet,</w:t>
      </w:r>
    </w:p>
    <w:p>
      <w:pPr>
        <w:ind w:left="780"/>
      </w:pPr>
      <w:r>
        <w:t xml:space="preserve">b) entgegen § 6 den Fährbetrieb von einer anderen als den dort genannten Anlegestellen aus durchführt,</w:t>
      </w:r>
    </w:p>
    <w:p>
      <w:pPr>
        <w:ind w:left="780"/>
      </w:pPr>
      <w:r>
        <w:t xml:space="preserve">c) einer Vorschrift des § 7 Absatz 1 Satz 1, Absatz 2 bis 4, 6 oder 7 über die Sicherheit an Bord zuwiderhandelt,</w:t>
      </w:r>
    </w:p>
    <w:p>
      <w:pPr>
        <w:ind w:left="780"/>
      </w:pPr>
      <w:r>
        <w:t xml:space="preserve">d) entgegen § 8 Satz 1 das Betreten, Befahren oder Verlassen der Fähre zuläßt,</w:t>
      </w:r>
    </w:p>
    <w:p>
      <w:pPr>
        <w:ind w:left="780"/>
      </w:pPr>
      <w:r>
        <w:t xml:space="preserve">e) entgegen § 12 Absatz 1 eine Kahnfähre einsetzt,</w:t>
      </w:r>
    </w:p>
    <w:p>
      <w:pPr>
        <w:ind w:left="780"/>
      </w:pPr>
      <w:r>
        <w:t xml:space="preserve">f) entgegen § 12 Absatz 2 den Fährverkehr nicht einstellt,</w:t>
      </w:r>
    </w:p>
    <w:p>
      <w:pPr>
        <w:ind w:left="780"/>
      </w:pPr>
      <w:r>
        <w:t xml:space="preserve">g) entgegen § 13 die Fähre gegen unbefugte Benutzung nicht sichert oder</w:t>
      </w:r>
    </w:p>
    <w:p>
      <w:pPr>
        <w:ind w:left="780"/>
      </w:pPr>
      <w:r>
        <w:t xml:space="preserve">h) entgegen § 15 Satz 2 oder Satz 3 ein dort genanntes Buch nicht mitführt.</w:t>
      </w:r>
    </w:p>
    <w:p>
      <w:r>
        <w:rPr>
          <w:color w:val="555555"/>
          <w:sz w:val="17"/>
        </w:rPr>
        <w:t xml:space="preserve">Zitiervorschlag: § 16 FäV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https://recht.nulegal.eu/gesetze/F%C3%A4V/16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