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FäV — Beförderung gefährlicher Güter</w:t>
      </w:r>
    </w:p>
    <w:p>
      <w:r>
        <w:rPr>
          <w:color w:val="555555"/>
          <w:sz w:val="18"/>
        </w:rPr>
        <w:t xml:space="preserve">Fährenbetriebsverordnung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Beförderung gefährlicher Güter gelten auch auf Fähren die dafür erlassenen besonderen Vorschriften.</w:t>
      </w:r>
    </w:p>
    <w:p>
      <w:r>
        <w:t xml:space="preserve">(2) Wer als Benutzer einer Fähre gefährliche Güter befördern lassen will, hat dies dem Fährpersonal vor dem Betreten oder Befahren der Fähre anzuzeigen und seine Beförderungspapiere vorzulegen.</w:t>
      </w:r>
    </w:p>
    <w:p>
      <w:r>
        <w:rPr>
          <w:color w:val="555555"/>
          <w:sz w:val="17"/>
        </w:rPr>
        <w:t xml:space="preserve">Zitiervorschlag: § 10 FäV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https://recht.nulegal.eu/gesetze/F%C3%A4V/10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