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81 F, VSO-F (Bayern) — Beendigung des Besuchs der Schulvorbereitenden Einrichtung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Besuch der Schulvorbereitenden Einrichtung endet</w:t>
      </w:r>
    </w:p>
    <w:p>
      <w:r>
        <w:t xml:space="preserve">1. mit Eintritt in eine Schule,</w:t>
      </w:r>
    </w:p>
    <w:p>
      <w:r>
        <w:t xml:space="preserve">2. auf Antrag der Erziehungsberechtigten.</w:t>
      </w:r>
    </w:p>
    <w:p>
      <w:r>
        <w:t xml:space="preserve">Der Besuch endet ferner, wenn nach den Feststellungen der Förderschule eine weitere Förderung an der Schulvorbereitenden Einrichtung nicht möglich oder nicht erforderlich ist.</w:t>
      </w:r>
    </w:p>
    <w:p>
      <w:r>
        <w:rPr>
          <w:color w:val="555555"/>
          <w:sz w:val="17"/>
        </w:rPr>
        <w:t xml:space="preserve">Zitiervorschlag: § 81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https://recht.nulegal.eu/gesetze/F%2C%20VSO-F/81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