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 VSO-F (Bayern) — Amtszeit des Elternbeirats und Mitgliedschaft</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Amtszeit des Elternbeirats beträgt zwei Jahre. Sie beginnt am Ersten des Monats, der auf die Wahl folgt. Zur gleichen Zeit endet die Amtszeit des bisherigen Elternbeirats. § 19 Abs. 3 VSO gilt entsprechend.</w:t>
      </w:r>
    </w:p>
    <w:p>
      <w:r>
        <w:t xml:space="preserve">(2) Die Mitgliedschaft endet mit dem Ablauf der Amtszeit, dem Ausscheiden des Kindes aus der Schule, der Niederlegung des Ehrenamtes oder dem Verlust der Wählbarkeit. An die Stelle ausgeschiedener Mitglieder rücken für die restliche Dauer der Amtszeit die Ersatzleute in der Reihenfolge ihrer Stimmenzahlen nach.</w:t>
      </w:r>
    </w:p>
    <w:p>
      <w:r>
        <w:rPr>
          <w:color w:val="555555"/>
          <w:sz w:val="17"/>
        </w:rPr>
        <w:t xml:space="preserve">Zitiervorschlag: § 8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