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F, VSO-F (Bayern) — Zusammenarbeit der Schule mit den Erziehungsberechtigten (vgl. Art. 64 bis 68, 74 und 76 BayEUG)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§ 16 VSO gilt entsprechend.</w:t>
      </w:r>
    </w:p>
    <w:p>
      <w:r>
        <w:t xml:space="preserve">(2) Fachlehrerinnen und Fachlehrer, Heilpädagogische Förderlehrerinnen und Förderlehrer, Werkmeisterinnen und Werkmeister und sonstiges Personal für heilpädagogische Unterrichtshilfe (Art. 60 BayEUG) halten monatlich eine Elternsprechstunde außerhalb ihrer Unterrichtszeit ab.</w:t>
      </w:r>
    </w:p>
    <w:p>
      <w:r>
        <w:rPr>
          <w:color w:val="555555"/>
          <w:sz w:val="17"/>
        </w:rPr>
        <w:t xml:space="preserve">Zitiervorschlag: § 7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