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F, VSO-F (Bayern) — Jahresfortgangsnoten, Bewertung der Leistungen, freiwillige mündliche Prüfung, Festsetzung der Noten und des Prüfungsergebnisses, Notenausgleich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§ 62 VSO gilt entsprechend.</w:t>
      </w:r>
    </w:p>
    <w:p>
      <w:r>
        <w:t xml:space="preserve">(2) Im Fach Deutsche Gebärdensprache wird die schriftlich/praktische Leistung im Verhältnis zur mündlich/kommunikativen Prüfung wie 2 : 1 gewichtet. Soweit sich die mündliche Prüfung nach § 62 Abs. 4 VSO auf das Fach Deutsche Gebärdensprache erstreckt, ist die mündliche Prüfung als mündlich/kommunikative Prüfung zu gestalten.</w:t>
      </w:r>
    </w:p>
    <w:p>
      <w:r>
        <w:rPr>
          <w:color w:val="555555"/>
          <w:sz w:val="17"/>
        </w:rPr>
        <w:t xml:space="preserve">Zitiervorschlag: § 68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https://recht.nulegal.eu/gesetze/F%2C%20VSO-F/68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