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42 F, VSO-F (Bayern) — Teilnahme (vgl. Art. 56 BayEUG)</w:t>
      </w:r>
    </w:p>
    <w:p>
      <w:r>
        <w:rPr>
          <w:color w:val="555555"/>
          <w:sz w:val="18"/>
        </w:rPr>
        <w:t xml:space="preserve">Volksschulordnung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§ 36 VSO über die Teilnahme am Unterricht und sonstigen verbindlichen Schulveranstaltungen gilt entsprechend.</w:t>
      </w:r>
    </w:p>
    <w:p>
      <w:r>
        <w:rPr>
          <w:color w:val="555555"/>
          <w:sz w:val="17"/>
        </w:rPr>
        <w:t xml:space="preserve">Zitiervorschlag: § 42 F, VSO-F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https://recht.nulegal.eu/gesetze/F%2C%20VSO-F/42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