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 VSO-F (Bayern) — Schulgemeinschaft, Eigenverantwortung, Schulleiterin und Schulleiter (vgl. Art. 2, 57, 84 und 85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Schulleiterin oder der Schulleiter verfügt über das Lehramt für Sonderpädagogik. Sie oder er soll eine Lehrbefähigung mit der sonderpädagogischen Fachrichtung aufweisen, die dem oder einem Förderschwerpunkt der Schule entspricht. Zur Wahrnehmung der besonderen Erziehungs- und Förderaufgaben der Volksschule zur sonderpädagogischen Förderung wirken alle Beteiligten der Schulgemeinschaft vertrauensvoll zusammen.</w:t>
      </w:r>
    </w:p>
    <w:p>
      <w:r>
        <w:t xml:space="preserve">(2) §§ 3 und 4 VSO gelten entsprechend.</w:t>
      </w:r>
    </w:p>
    <w:p>
      <w:r>
        <w:rPr>
          <w:color w:val="555555"/>
          <w:sz w:val="17"/>
        </w:rPr>
        <w:t xml:space="preserve">Zitiervorschlag: § 3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