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F, VSO-F (Bayern) — Schulaufsicht, Abweichung von einzelnen Vorschriften (vgl. Art. 111 bis 117 BayEUG)</w:t>
      </w:r>
    </w:p>
    <w:p>
      <w:r>
        <w:rPr>
          <w:color w:val="555555"/>
          <w:sz w:val="18"/>
        </w:rPr>
        <w:t xml:space="preserve">Volksschulordnung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2 Abs. 1 und § 3 VSO gelten entsprechend; zuständige Schulaufsichtsbehörde ist die Regierung.</w:t>
      </w:r>
    </w:p>
    <w:p>
      <w:r>
        <w:rPr>
          <w:color w:val="555555"/>
          <w:sz w:val="17"/>
        </w:rPr>
        <w:t xml:space="preserve">Zitiervorschlag: § 2 F, VSO-F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https://recht.nulegal.eu/gesetze/F%2C%20VSO-F/2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