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F, VSO-F (Bayern) — Finanzielle Abwicklung sonstiger schulischer Veranstaltungen, Sammlungen und Spenden, Erhebungen, Schülerhaftpflichtversicherung</w:t>
      </w:r>
    </w:p>
    <w:p>
      <w:r>
        <w:rPr>
          <w:color w:val="555555"/>
          <w:sz w:val="18"/>
        </w:rPr>
        <w:t xml:space="preserve">Volksschulordnung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§§ 23 bis 25 VSO gelten entsprechend. Eine Schülerhaftpflichtversicherung ( § 23 Abs. 3 VSO ) ist auch für Praxismaßnahmen nach § 27 Abs. 1 und 2 abzuschließen. Für die Genehmigung von Erhebungen entsprechend § 25 Abs. 1 Satz 1 VSO ist die jeweilige Regierung zuständig.</w:t>
      </w:r>
    </w:p>
    <w:p>
      <w:r>
        <w:rPr>
          <w:color w:val="555555"/>
          <w:sz w:val="17"/>
        </w:rPr>
        <w:t xml:space="preserve">Zitiervorschlag: § 13 F, VSO-F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https://recht.nulegal.eu/gesetze/F%2C%20VSO-F/13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