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F, VSO-F (Bayern) — Schulforum (vgl. Art. 69 BayEUG)</w:t>
      </w:r>
    </w:p>
    <w:p>
      <w:r>
        <w:rPr>
          <w:color w:val="555555"/>
          <w:sz w:val="18"/>
        </w:rPr>
        <w:t xml:space="preserve">Volksschulordnung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§ 22 VSO gilt entsprechend. Bei der Behandlung einzelner Tagesordnungspunkte können auch Heilpädagogische Förderlehrerinnen und Förderlehrer, Werkmeisterinnen und Werkmeister oder sonstige Personen zur heilpädagogischen Unterrichtshilfe oder Pflegekräfte hinzugezogen werden; § 4 Abs. 1 Satz 3 gilt entsprechend.</w:t>
      </w:r>
    </w:p>
    <w:p>
      <w:r>
        <w:t xml:space="preserve">(2) Ein Schulforum wird an Schulen für den Förderschwerpunkt geistige Entwicklung gebildet, soweit an der Schule Schülersprecherinnen und Schülersprecher gewählt worden sind.</w:t>
      </w:r>
    </w:p>
    <w:p>
      <w:r>
        <w:rPr>
          <w:color w:val="555555"/>
          <w:sz w:val="17"/>
        </w:rPr>
        <w:t xml:space="preserve">Zitiervorschlag: § 12 F, VSO-F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https://recht.nulegal.eu/gesetze/F%2C%20VSO-F/12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