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F, VSO-F (Bayern) — Gemeinsamer Elternbeirat (vgl. Art. 66 Abs. 4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gemeinsame Elternbeirat wird im Fall des Art. 66 Abs. 4 Satz 1 Halbsatz 2 BayEUG in einem Wahlgang gewählt. Die Regierung setzt im Einvernehmen mit den Vorsitzenden der beteiligten Elternbeiräte Ort und Zeit der Wahl fest und lädt ein. § 8 gilt entsprechend.</w:t>
      </w:r>
    </w:p>
    <w:p>
      <w:r>
        <w:t xml:space="preserve">(2) § 20 Abs. 1 bis 4, Abs. 6, § 21 Abs. 1 Satz 2, Abs. 2 Sätze 2 bis 7 VSO gelten entsprechend.</w:t>
      </w:r>
    </w:p>
    <w:p>
      <w:r>
        <w:rPr>
          <w:color w:val="555555"/>
          <w:sz w:val="17"/>
        </w:rPr>
        <w:t xml:space="preserve">Zitiervorschlag: § 11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